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DA" w:rsidRDefault="00E07FDA">
      <w:pPr>
        <w:pStyle w:val="ConsPlusTitle"/>
        <w:jc w:val="center"/>
      </w:pPr>
      <w:bookmarkStart w:id="0" w:name="P19"/>
      <w:bookmarkStart w:id="1" w:name="_GoBack"/>
      <w:bookmarkEnd w:id="0"/>
      <w:bookmarkEnd w:id="1"/>
      <w:r>
        <w:t>ОСНОВНЫЕ НОВЕЛЛЫ</w:t>
      </w:r>
    </w:p>
    <w:p w:rsidR="00E07FDA" w:rsidRDefault="00E07FDA">
      <w:pPr>
        <w:pStyle w:val="ConsPlusTitle"/>
        <w:jc w:val="center"/>
      </w:pPr>
      <w:r>
        <w:t>В МЕТОДИЧЕСКИХ РЕКОМЕНДАЦИЯХ ПО ВОПРОСАМ ПРЕДСТАВЛЕНИЯ</w:t>
      </w:r>
    </w:p>
    <w:p w:rsidR="00E07FDA" w:rsidRDefault="00E07FDA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E07FDA" w:rsidRDefault="00E07FDA">
      <w:pPr>
        <w:pStyle w:val="ConsPlusTitle"/>
        <w:jc w:val="center"/>
      </w:pPr>
      <w:r>
        <w:t>ИМУЩЕСТВЕННОГО ХАРАКТЕРА И ЗАПОЛНЕНИЯ СООТВЕТСТВУЮЩЕЙ ФОРМЫ</w:t>
      </w:r>
    </w:p>
    <w:p w:rsidR="00E07FDA" w:rsidRDefault="00E07FDA">
      <w:pPr>
        <w:pStyle w:val="ConsPlusTitle"/>
        <w:jc w:val="center"/>
      </w:pPr>
      <w:r>
        <w:t>СПРАВКИ В 2026 ГОДУ (ЗА ОТЧЕТНЫЙ 2025 ГОД)</w:t>
      </w:r>
    </w:p>
    <w:p w:rsidR="00E07FDA" w:rsidRDefault="00E07FDA">
      <w:pPr>
        <w:pStyle w:val="ConsPlusNormal"/>
        <w:jc w:val="center"/>
      </w:pPr>
    </w:p>
    <w:p w:rsidR="00E07FDA" w:rsidRDefault="00E07FDA">
      <w:pPr>
        <w:pStyle w:val="ConsPlusNormal"/>
        <w:ind w:firstLine="540"/>
        <w:jc w:val="both"/>
      </w:pPr>
      <w: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r:id="rId4">
        <w:r>
          <w:rPr>
            <w:color w:val="0000FF"/>
          </w:rPr>
          <w:t>рекомендации</w:t>
        </w:r>
      </w:hyperlink>
      <w:r>
        <w:t xml:space="preserve">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 xml:space="preserve">Основными новеллами указанных Методических </w:t>
      </w:r>
      <w:hyperlink r:id="rId5">
        <w:r>
          <w:rPr>
            <w:color w:val="0000FF"/>
          </w:rPr>
          <w:t>рекомендаций</w:t>
        </w:r>
      </w:hyperlink>
      <w:r>
        <w:t xml:space="preserve"> являются следующие.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>1. В формате .</w:t>
      </w:r>
      <w:proofErr w:type="spellStart"/>
      <w:r>
        <w:t>docx</w:t>
      </w:r>
      <w:proofErr w:type="spellEnd"/>
      <w:r>
        <w:t xml:space="preserve"> внедрена система навигации по документу, а также созданы гиперссылки.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>2. Отражен порядок направления вопросов, связанных с использованием специального программного обеспечения "Справки БК", на адрес электронной почты: spravki_bk@mintrud.gov.ru.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>3. Учтены положения Федерального закона от 28 декабря 2025 г. N 505-ФЗ "О внесении изменений в отдельные законодательные акты Российской Федерации" и Указа Президента Российской Федерации от 31 декабря 2025 г. N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 xml:space="preserve">4. Скорректированы подходы к отражению информации на титульном листе </w:t>
      </w:r>
      <w:hyperlink r:id="rId6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 (далее - справка) - информация указывается по состоянию на дату подписания справки. Аналогично изменен подход к заполнению строки "Доход по основному месту работы" </w:t>
      </w:r>
      <w:hyperlink r:id="rId7">
        <w:r>
          <w:rPr>
            <w:color w:val="0000FF"/>
          </w:rPr>
          <w:t>раздела 1</w:t>
        </w:r>
      </w:hyperlink>
      <w:r>
        <w:t xml:space="preserve"> справки.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>5. Изменены подходы к расчету общего дохода служащего (работника), его супруги (супруга) и несовершеннолетних детей.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>6. Отмечено, что сведения о расходах представляются в случае, если совершена сделка (сделки) по приобретению соответствующего имущества и сумма такой сделки (сделок) превышает применимый трехгодовой доход (вне зависимости от фактически уплаченной суммы).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 xml:space="preserve">7. Подчеркнуто, что в </w:t>
      </w:r>
      <w:hyperlink r:id="rId8">
        <w:r>
          <w:rPr>
            <w:color w:val="0000FF"/>
          </w:rPr>
          <w:t>разделе 3</w:t>
        </w:r>
      </w:hyperlink>
      <w:r>
        <w:t xml:space="preserve">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 xml:space="preserve">8. Указано, что в </w:t>
      </w:r>
      <w:hyperlink r:id="rId9">
        <w:r>
          <w:rPr>
            <w:color w:val="0000FF"/>
          </w:rPr>
          <w:t>разделе 4</w:t>
        </w:r>
      </w:hyperlink>
      <w:r>
        <w:t xml:space="preserve">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t xml:space="preserve">9. Уточнены отдельные аспекты отражения в </w:t>
      </w:r>
      <w:hyperlink r:id="rId10">
        <w:r>
          <w:rPr>
            <w:color w:val="0000FF"/>
          </w:rPr>
          <w:t>разделе 5</w:t>
        </w:r>
      </w:hyperlink>
      <w:r>
        <w:t xml:space="preserve"> справки </w:t>
      </w:r>
      <w:proofErr w:type="gramStart"/>
      <w:r>
        <w:t>инвестиционных паев</w:t>
      </w:r>
      <w:proofErr w:type="gramEnd"/>
      <w:r>
        <w:t xml:space="preserve">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>
        <w:t>эскроу</w:t>
      </w:r>
      <w:proofErr w:type="spellEnd"/>
      <w:r>
        <w:t>-агенту.</w:t>
      </w:r>
    </w:p>
    <w:p w:rsidR="00E07FDA" w:rsidRDefault="00E07FDA">
      <w:pPr>
        <w:pStyle w:val="ConsPlusNormal"/>
        <w:spacing w:before="220"/>
        <w:ind w:firstLine="540"/>
        <w:jc w:val="both"/>
      </w:pPr>
      <w:r>
        <w:lastRenderedPageBreak/>
        <w:t xml:space="preserve">10. Отражены подходы к указанию в </w:t>
      </w:r>
      <w:hyperlink r:id="rId11">
        <w:r>
          <w:rPr>
            <w:color w:val="0000FF"/>
          </w:rPr>
          <w:t>подразделе 6.2 раздела 6</w:t>
        </w:r>
      </w:hyperlink>
      <w:r>
        <w:t xml:space="preserve"> справки обязательств, возникающих исходя из условий договора долевого страхования жизни.</w:t>
      </w:r>
    </w:p>
    <w:p w:rsidR="00E07FDA" w:rsidRDefault="00E07FDA">
      <w:pPr>
        <w:pStyle w:val="ConsPlusNormal"/>
        <w:jc w:val="both"/>
      </w:pPr>
    </w:p>
    <w:p w:rsidR="00E07FDA" w:rsidRDefault="00E07FDA">
      <w:pPr>
        <w:pStyle w:val="ConsPlusNormal"/>
        <w:jc w:val="both"/>
      </w:pPr>
    </w:p>
    <w:p w:rsidR="00E07FDA" w:rsidRDefault="00E07F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22F4" w:rsidRDefault="001622F4"/>
    <w:sectPr w:rsidR="001622F4" w:rsidSect="0035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DA"/>
    <w:rsid w:val="001622F4"/>
    <w:rsid w:val="00D73CA4"/>
    <w:rsid w:val="00E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B3904-C11A-4E1E-BAFF-0AD6408C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7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7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948&amp;dst=1001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948&amp;dst=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8&amp;dst=100045" TargetMode="External"/><Relationship Id="rId11" Type="http://schemas.openxmlformats.org/officeDocument/2006/relationships/hyperlink" Target="https://login.consultant.ru/link/?req=doc&amp;base=LAW&amp;n=523948&amp;dst=100247" TargetMode="External"/><Relationship Id="rId5" Type="http://schemas.openxmlformats.org/officeDocument/2006/relationships/hyperlink" Target="https://login.consultant.ru/link/?req=doc&amp;base=LAW&amp;n=531385&amp;dst=100002" TargetMode="External"/><Relationship Id="rId10" Type="http://schemas.openxmlformats.org/officeDocument/2006/relationships/hyperlink" Target="https://login.consultant.ru/link/?req=doc&amp;base=LAW&amp;n=523948&amp;dst=100191" TargetMode="External"/><Relationship Id="rId4" Type="http://schemas.openxmlformats.org/officeDocument/2006/relationships/hyperlink" Target="https://login.consultant.ru/link/?req=doc&amp;base=LAW&amp;n=531385&amp;dst=100002" TargetMode="External"/><Relationship Id="rId9" Type="http://schemas.openxmlformats.org/officeDocument/2006/relationships/hyperlink" Target="https://login.consultant.ru/link/?req=doc&amp;base=LAW&amp;n=523948&amp;dst=100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Алашеева</dc:creator>
  <cp:keywords/>
  <dc:description/>
  <cp:lastModifiedBy>Алашеева</cp:lastModifiedBy>
  <cp:revision>2</cp:revision>
  <dcterms:created xsi:type="dcterms:W3CDTF">2026-04-17T07:48:00Z</dcterms:created>
  <dcterms:modified xsi:type="dcterms:W3CDTF">2026-04-17T07:48:00Z</dcterms:modified>
</cp:coreProperties>
</file>